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940" w:type="dxa"/>
        <w:tblInd w:w="-72" w:type="dxa"/>
        <w:tblLook w:val="04A0" w:firstRow="1" w:lastRow="0" w:firstColumn="1" w:lastColumn="0" w:noHBand="0" w:noVBand="1"/>
      </w:tblPr>
      <w:tblGrid>
        <w:gridCol w:w="3510"/>
        <w:gridCol w:w="7740"/>
        <w:gridCol w:w="3690"/>
      </w:tblGrid>
      <w:tr w:rsidR="00BB6AD8" w14:paraId="3A9EBB47" w14:textId="77777777" w:rsidTr="00E64124">
        <w:trPr>
          <w:trHeight w:val="666"/>
        </w:trPr>
        <w:tc>
          <w:tcPr>
            <w:tcW w:w="351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14:paraId="59B193EF" w14:textId="77777777" w:rsidR="009B572F" w:rsidRPr="00296442" w:rsidRDefault="00296442" w:rsidP="009B572F">
            <w:pPr>
              <w:jc w:val="center"/>
              <w:rPr>
                <w:b/>
                <w:sz w:val="28"/>
              </w:rPr>
            </w:pPr>
            <w:r w:rsidRPr="00296442">
              <w:rPr>
                <w:b/>
                <w:sz w:val="28"/>
              </w:rPr>
              <w:t>Legislation</w:t>
            </w:r>
          </w:p>
        </w:tc>
        <w:tc>
          <w:tcPr>
            <w:tcW w:w="774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14:paraId="0C851CAE" w14:textId="77777777" w:rsidR="00296442" w:rsidRPr="00296442" w:rsidRDefault="00296442" w:rsidP="009B572F">
            <w:pPr>
              <w:jc w:val="center"/>
              <w:rPr>
                <w:b/>
                <w:sz w:val="28"/>
              </w:rPr>
            </w:pPr>
            <w:r w:rsidRPr="00296442">
              <w:rPr>
                <w:b/>
                <w:sz w:val="28"/>
              </w:rPr>
              <w:t>What is it?</w:t>
            </w:r>
          </w:p>
        </w:tc>
        <w:tc>
          <w:tcPr>
            <w:tcW w:w="369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14:paraId="69AA056B" w14:textId="77777777" w:rsidR="00FA7F3D" w:rsidRPr="00296442" w:rsidRDefault="00FA7F3D" w:rsidP="00FA7F3D">
            <w:pPr>
              <w:jc w:val="center"/>
              <w:rPr>
                <w:b/>
                <w:sz w:val="28"/>
              </w:rPr>
            </w:pPr>
            <w:r>
              <w:rPr>
                <w:b/>
                <w:sz w:val="28"/>
              </w:rPr>
              <w:t>Say to your representative…</w:t>
            </w:r>
          </w:p>
        </w:tc>
      </w:tr>
      <w:tr w:rsidR="00E64124" w14:paraId="52B2A4C4" w14:textId="77777777" w:rsidTr="00E64124">
        <w:trPr>
          <w:trHeight w:val="3570"/>
        </w:trPr>
        <w:tc>
          <w:tcPr>
            <w:tcW w:w="3510" w:type="dxa"/>
            <w:tcBorders>
              <w:top w:val="single" w:sz="18" w:space="0" w:color="auto"/>
              <w:left w:val="single" w:sz="18" w:space="0" w:color="auto"/>
              <w:bottom w:val="single" w:sz="18" w:space="0" w:color="auto"/>
              <w:right w:val="single" w:sz="18" w:space="0" w:color="auto"/>
            </w:tcBorders>
            <w:shd w:val="clear" w:color="auto" w:fill="FBD4B4" w:themeFill="accent6" w:themeFillTint="66"/>
            <w:vAlign w:val="center"/>
          </w:tcPr>
          <w:p w14:paraId="72D96FBD" w14:textId="77777777" w:rsidR="00E64124" w:rsidRDefault="00E64124" w:rsidP="00E869D7">
            <w:pPr>
              <w:jc w:val="center"/>
              <w:rPr>
                <w:b/>
                <w:color w:val="C00000"/>
                <w:sz w:val="26"/>
                <w:szCs w:val="26"/>
              </w:rPr>
            </w:pPr>
            <w:r>
              <w:rPr>
                <w:b/>
                <w:color w:val="C00000"/>
                <w:sz w:val="26"/>
                <w:szCs w:val="26"/>
              </w:rPr>
              <w:t xml:space="preserve">IN State </w:t>
            </w:r>
            <w:r w:rsidRPr="005D6EBD">
              <w:rPr>
                <w:b/>
                <w:color w:val="C00000"/>
                <w:sz w:val="26"/>
                <w:szCs w:val="26"/>
              </w:rPr>
              <w:t>Senators and Representatives</w:t>
            </w:r>
          </w:p>
          <w:p w14:paraId="1AA091ED" w14:textId="77777777" w:rsidR="00E64124" w:rsidRDefault="00E64124" w:rsidP="00C57625">
            <w:pPr>
              <w:jc w:val="center"/>
              <w:rPr>
                <w:b/>
                <w:color w:val="C00000"/>
                <w:sz w:val="26"/>
                <w:szCs w:val="26"/>
              </w:rPr>
            </w:pPr>
          </w:p>
          <w:p w14:paraId="1D0AE76C" w14:textId="77777777" w:rsidR="00E64124" w:rsidRDefault="00E64124" w:rsidP="003F17C3">
            <w:pPr>
              <w:jc w:val="center"/>
              <w:rPr>
                <w:b/>
                <w:sz w:val="26"/>
                <w:szCs w:val="26"/>
              </w:rPr>
            </w:pPr>
            <w:r w:rsidRPr="00E869D7">
              <w:rPr>
                <w:b/>
                <w:sz w:val="26"/>
                <w:szCs w:val="26"/>
              </w:rPr>
              <w:t>Eviction Laws</w:t>
            </w:r>
            <w:r>
              <w:rPr>
                <w:b/>
                <w:sz w:val="26"/>
                <w:szCs w:val="26"/>
              </w:rPr>
              <w:t xml:space="preserve"> </w:t>
            </w:r>
          </w:p>
          <w:p w14:paraId="6BCA92C8" w14:textId="465CE829" w:rsidR="00E64124" w:rsidRPr="000B13D3" w:rsidRDefault="00E64124" w:rsidP="00B8642B">
            <w:pPr>
              <w:jc w:val="center"/>
              <w:rPr>
                <w:b/>
                <w:sz w:val="26"/>
                <w:szCs w:val="26"/>
              </w:rPr>
            </w:pPr>
            <w:r>
              <w:rPr>
                <w:b/>
                <w:sz w:val="26"/>
                <w:szCs w:val="26"/>
              </w:rPr>
              <w:t>(e.g., SB 233)</w:t>
            </w:r>
          </w:p>
        </w:tc>
        <w:tc>
          <w:tcPr>
            <w:tcW w:w="7740" w:type="dxa"/>
            <w:tcBorders>
              <w:left w:val="single" w:sz="18" w:space="0" w:color="auto"/>
            </w:tcBorders>
            <w:vAlign w:val="center"/>
          </w:tcPr>
          <w:p w14:paraId="3073722D" w14:textId="77777777" w:rsidR="00E64124" w:rsidRDefault="00E64124" w:rsidP="00A119A3">
            <w:pPr>
              <w:rPr>
                <w:rFonts w:eastAsia="Times New Roman" w:cs="Times New Roman"/>
                <w:szCs w:val="20"/>
              </w:rPr>
            </w:pPr>
            <w:r>
              <w:rPr>
                <w:rFonts w:eastAsia="Times New Roman" w:cs="Times New Roman"/>
                <w:szCs w:val="20"/>
              </w:rPr>
              <w:t>Create an eviction expunge</w:t>
            </w:r>
            <w:r w:rsidRPr="00E869D7">
              <w:rPr>
                <w:rFonts w:eastAsia="Times New Roman" w:cs="Times New Roman"/>
                <w:szCs w:val="20"/>
              </w:rPr>
              <w:t xml:space="preserve">ment process to prevent </w:t>
            </w:r>
            <w:r>
              <w:rPr>
                <w:rFonts w:eastAsia="Times New Roman" w:cs="Times New Roman"/>
                <w:szCs w:val="20"/>
              </w:rPr>
              <w:t xml:space="preserve">tenants from receiving a so-called “Scarlet E,” the lasting disclosure of a past eviction on their record, which </w:t>
            </w:r>
            <w:r w:rsidRPr="00E869D7">
              <w:rPr>
                <w:rFonts w:eastAsia="Times New Roman" w:cs="Times New Roman"/>
                <w:szCs w:val="20"/>
              </w:rPr>
              <w:t xml:space="preserve">can follow tenants for years, even when the eviction file never goes to court or a ruling </w:t>
            </w:r>
            <w:r>
              <w:rPr>
                <w:rFonts w:eastAsia="Times New Roman" w:cs="Times New Roman"/>
                <w:szCs w:val="20"/>
              </w:rPr>
              <w:t>ends</w:t>
            </w:r>
            <w:r w:rsidRPr="00E869D7">
              <w:rPr>
                <w:rFonts w:eastAsia="Times New Roman" w:cs="Times New Roman"/>
                <w:szCs w:val="20"/>
              </w:rPr>
              <w:t xml:space="preserve"> in the tenant’s favor</w:t>
            </w:r>
            <w:r>
              <w:rPr>
                <w:rFonts w:eastAsia="Times New Roman" w:cs="Times New Roman"/>
                <w:szCs w:val="20"/>
              </w:rPr>
              <w:t xml:space="preserve">. </w:t>
            </w:r>
          </w:p>
          <w:p w14:paraId="57F007E1" w14:textId="77777777" w:rsidR="00E64124" w:rsidRDefault="00E64124" w:rsidP="00A119A3">
            <w:pPr>
              <w:rPr>
                <w:rFonts w:eastAsia="Times New Roman" w:cs="Times New Roman"/>
                <w:szCs w:val="20"/>
              </w:rPr>
            </w:pPr>
          </w:p>
          <w:p w14:paraId="556DF84B" w14:textId="2E6B3348" w:rsidR="00E64124" w:rsidRPr="00CB1702" w:rsidRDefault="00E64124" w:rsidP="005D6EBD">
            <w:pPr>
              <w:jc w:val="both"/>
              <w:rPr>
                <w:sz w:val="28"/>
                <w:szCs w:val="26"/>
              </w:rPr>
            </w:pPr>
            <w:r>
              <w:rPr>
                <w:rFonts w:eastAsia="Times New Roman" w:cs="Times New Roman"/>
                <w:szCs w:val="20"/>
              </w:rPr>
              <w:t xml:space="preserve">SB 233 would prohibit the court or a case manager from disclosing information about a tenant’s past eviction history if the tenant’s eviction case was dismissed or the tenant prevailed in the case, or if the tenant has been eviction-free for at least seven years. </w:t>
            </w:r>
          </w:p>
        </w:tc>
        <w:tc>
          <w:tcPr>
            <w:tcW w:w="3690" w:type="dxa"/>
            <w:vAlign w:val="center"/>
          </w:tcPr>
          <w:p w14:paraId="17CA95F3" w14:textId="77777777" w:rsidR="00E64124" w:rsidRDefault="00E64124" w:rsidP="002623B4">
            <w:pPr>
              <w:jc w:val="center"/>
              <w:rPr>
                <w:szCs w:val="24"/>
              </w:rPr>
            </w:pPr>
            <w:r>
              <w:rPr>
                <w:szCs w:val="24"/>
              </w:rPr>
              <w:t xml:space="preserve">To all legislators: Please support changes to eviction laws that expunge or prohibit disclose of tenants’ past eviction records for tenants who have been cleared of eviction charges or have not had recent evictions. </w:t>
            </w:r>
          </w:p>
          <w:p w14:paraId="51E757EE" w14:textId="77777777" w:rsidR="00E64124" w:rsidRDefault="00E64124" w:rsidP="002623B4">
            <w:pPr>
              <w:jc w:val="center"/>
              <w:rPr>
                <w:szCs w:val="24"/>
              </w:rPr>
            </w:pPr>
          </w:p>
          <w:p w14:paraId="76DB35FA" w14:textId="33251855" w:rsidR="00E64124" w:rsidRPr="005D6EBD" w:rsidRDefault="00E64124" w:rsidP="00220A0C">
            <w:pPr>
              <w:jc w:val="center"/>
              <w:rPr>
                <w:i/>
                <w:sz w:val="26"/>
                <w:szCs w:val="26"/>
              </w:rPr>
            </w:pPr>
            <w:r>
              <w:rPr>
                <w:szCs w:val="24"/>
              </w:rPr>
              <w:t xml:space="preserve">To Sen: Please support current bill SB 233 seeking to change eviction disclosure laws.  </w:t>
            </w:r>
          </w:p>
        </w:tc>
      </w:tr>
      <w:tr w:rsidR="00E64124" w14:paraId="626E75D3" w14:textId="77777777" w:rsidTr="00E64124">
        <w:trPr>
          <w:trHeight w:val="3570"/>
        </w:trPr>
        <w:tc>
          <w:tcPr>
            <w:tcW w:w="3510" w:type="dxa"/>
            <w:tcBorders>
              <w:top w:val="single" w:sz="18" w:space="0" w:color="auto"/>
              <w:left w:val="single" w:sz="18" w:space="0" w:color="auto"/>
              <w:bottom w:val="single" w:sz="18" w:space="0" w:color="auto"/>
              <w:right w:val="single" w:sz="18" w:space="0" w:color="auto"/>
            </w:tcBorders>
            <w:shd w:val="clear" w:color="auto" w:fill="FBD4B4" w:themeFill="accent6" w:themeFillTint="66"/>
            <w:vAlign w:val="center"/>
          </w:tcPr>
          <w:p w14:paraId="31F48180" w14:textId="77777777" w:rsidR="00E64124" w:rsidRDefault="00E64124" w:rsidP="00E869D7">
            <w:pPr>
              <w:jc w:val="center"/>
              <w:rPr>
                <w:b/>
                <w:color w:val="C00000"/>
                <w:sz w:val="26"/>
                <w:szCs w:val="26"/>
              </w:rPr>
            </w:pPr>
            <w:r>
              <w:rPr>
                <w:b/>
                <w:color w:val="C00000"/>
                <w:sz w:val="26"/>
                <w:szCs w:val="26"/>
              </w:rPr>
              <w:t xml:space="preserve">IN State Senators </w:t>
            </w:r>
          </w:p>
          <w:p w14:paraId="0C18DD40" w14:textId="77777777" w:rsidR="00E64124" w:rsidRDefault="00E64124" w:rsidP="00E869D7">
            <w:pPr>
              <w:jc w:val="center"/>
              <w:rPr>
                <w:b/>
                <w:color w:val="C00000"/>
                <w:sz w:val="26"/>
                <w:szCs w:val="26"/>
              </w:rPr>
            </w:pPr>
          </w:p>
          <w:p w14:paraId="24A41E37" w14:textId="30EC9A3F" w:rsidR="00E64124" w:rsidRPr="00CB1702" w:rsidRDefault="00E64124" w:rsidP="00C8386F">
            <w:pPr>
              <w:jc w:val="center"/>
              <w:rPr>
                <w:sz w:val="26"/>
                <w:szCs w:val="26"/>
              </w:rPr>
            </w:pPr>
            <w:r w:rsidRPr="002623B4">
              <w:rPr>
                <w:b/>
                <w:sz w:val="26"/>
                <w:szCs w:val="26"/>
              </w:rPr>
              <w:t xml:space="preserve">Habitability </w:t>
            </w:r>
            <w:r>
              <w:rPr>
                <w:b/>
                <w:sz w:val="26"/>
                <w:szCs w:val="26"/>
              </w:rPr>
              <w:t>Standards Enforcement</w:t>
            </w:r>
            <w:r w:rsidRPr="002623B4">
              <w:rPr>
                <w:b/>
                <w:sz w:val="26"/>
                <w:szCs w:val="26"/>
              </w:rPr>
              <w:t xml:space="preserve"> (SB 230)</w:t>
            </w:r>
          </w:p>
        </w:tc>
        <w:tc>
          <w:tcPr>
            <w:tcW w:w="7740" w:type="dxa"/>
            <w:tcBorders>
              <w:left w:val="single" w:sz="18" w:space="0" w:color="auto"/>
            </w:tcBorders>
            <w:vAlign w:val="center"/>
          </w:tcPr>
          <w:p w14:paraId="3C58D867" w14:textId="77777777" w:rsidR="00E64124" w:rsidRDefault="00E64124" w:rsidP="00F44B7E">
            <w:pPr>
              <w:rPr>
                <w:rFonts w:eastAsia="Times New Roman" w:cs="Arial"/>
                <w:color w:val="333333"/>
                <w:szCs w:val="20"/>
                <w:shd w:val="clear" w:color="auto" w:fill="FFFFFF"/>
              </w:rPr>
            </w:pPr>
            <w:r w:rsidRPr="00F44B7E">
              <w:rPr>
                <w:rFonts w:eastAsia="Times New Roman" w:cs="Arial"/>
                <w:color w:val="333333"/>
                <w:szCs w:val="20"/>
                <w:shd w:val="clear" w:color="auto" w:fill="FFFFFF"/>
              </w:rPr>
              <w:t xml:space="preserve">Requires a landlord to repair or replace essential </w:t>
            </w:r>
            <w:r>
              <w:rPr>
                <w:rFonts w:eastAsia="Times New Roman" w:cs="Arial"/>
                <w:color w:val="333333"/>
                <w:szCs w:val="20"/>
                <w:shd w:val="clear" w:color="auto" w:fill="FFFFFF"/>
              </w:rPr>
              <w:t>utility services needed for safe and habitable occupation</w:t>
            </w:r>
            <w:r w:rsidRPr="00F44B7E">
              <w:rPr>
                <w:rFonts w:eastAsia="Times New Roman" w:cs="Arial"/>
                <w:color w:val="333333"/>
                <w:szCs w:val="20"/>
                <w:shd w:val="clear" w:color="auto" w:fill="FFFFFF"/>
              </w:rPr>
              <w:t xml:space="preserve"> not later than 24 hours after being notified by a tenant that the tenant's rental unit is without </w:t>
            </w:r>
            <w:r>
              <w:rPr>
                <w:rFonts w:eastAsia="Times New Roman" w:cs="Arial"/>
                <w:color w:val="333333"/>
                <w:szCs w:val="20"/>
                <w:shd w:val="clear" w:color="auto" w:fill="FFFFFF"/>
              </w:rPr>
              <w:t>the essential service</w:t>
            </w:r>
            <w:r w:rsidRPr="00F44B7E">
              <w:rPr>
                <w:rFonts w:eastAsia="Times New Roman" w:cs="Arial"/>
                <w:color w:val="333333"/>
                <w:szCs w:val="20"/>
                <w:shd w:val="clear" w:color="auto" w:fill="FFFFFF"/>
              </w:rPr>
              <w:t xml:space="preserve">. </w:t>
            </w:r>
          </w:p>
          <w:p w14:paraId="3772AFE0" w14:textId="77777777" w:rsidR="00E64124" w:rsidRDefault="00E64124" w:rsidP="00F44B7E">
            <w:pPr>
              <w:rPr>
                <w:rFonts w:eastAsia="Times New Roman" w:cs="Arial"/>
                <w:color w:val="333333"/>
                <w:szCs w:val="20"/>
                <w:shd w:val="clear" w:color="auto" w:fill="FFFFFF"/>
              </w:rPr>
            </w:pPr>
          </w:p>
          <w:p w14:paraId="4727E8D7" w14:textId="45D1F0A7" w:rsidR="00E64124" w:rsidRPr="00846D48" w:rsidRDefault="00E64124" w:rsidP="00A659DA">
            <w:pPr>
              <w:spacing w:before="100" w:beforeAutospacing="1" w:after="100" w:afterAutospacing="1"/>
              <w:jc w:val="both"/>
              <w:outlineLvl w:val="0"/>
              <w:rPr>
                <w:sz w:val="26"/>
                <w:szCs w:val="26"/>
              </w:rPr>
            </w:pPr>
            <w:r w:rsidRPr="00F44B7E">
              <w:rPr>
                <w:rFonts w:eastAsia="Times New Roman" w:cs="Arial"/>
                <w:color w:val="333333"/>
                <w:szCs w:val="20"/>
                <w:shd w:val="clear" w:color="auto" w:fill="FFFFFF"/>
              </w:rPr>
              <w:t>Provides that a tenant may enforce a legal obligation of a landlord by providing notice of the landlord's noncompliance and allows for certain remedies to the tenant for the landlord's noncompliance. </w:t>
            </w:r>
            <w:r>
              <w:rPr>
                <w:rFonts w:eastAsia="Times New Roman" w:cs="Times New Roman"/>
                <w:szCs w:val="20"/>
              </w:rPr>
              <w:t xml:space="preserve"> </w:t>
            </w:r>
          </w:p>
        </w:tc>
        <w:tc>
          <w:tcPr>
            <w:tcW w:w="3690" w:type="dxa"/>
            <w:vAlign w:val="center"/>
          </w:tcPr>
          <w:p w14:paraId="68DF87ED" w14:textId="76A3E2D8" w:rsidR="00E64124" w:rsidRPr="005D6EBD" w:rsidRDefault="00E64124" w:rsidP="00B8642B">
            <w:pPr>
              <w:spacing w:before="100" w:beforeAutospacing="1" w:after="100" w:afterAutospacing="1"/>
              <w:jc w:val="center"/>
              <w:outlineLvl w:val="0"/>
              <w:rPr>
                <w:i/>
                <w:sz w:val="26"/>
                <w:szCs w:val="26"/>
              </w:rPr>
            </w:pPr>
            <w:r>
              <w:rPr>
                <w:szCs w:val="24"/>
              </w:rPr>
              <w:t xml:space="preserve">To Senators: Please support SB 230, a bipartisan bill aimed at giving tenants legal protections from (or leverage against) landlords who don’t reply promptly to broken or disrupted utility services (e.g., water, power, and heat). </w:t>
            </w:r>
          </w:p>
        </w:tc>
      </w:tr>
      <w:tr w:rsidR="00E64124" w:rsidRPr="00AC3432" w14:paraId="74824231" w14:textId="77777777" w:rsidTr="00E64124">
        <w:trPr>
          <w:trHeight w:val="3195"/>
        </w:trPr>
        <w:tc>
          <w:tcPr>
            <w:tcW w:w="3510" w:type="dxa"/>
            <w:tcBorders>
              <w:top w:val="single" w:sz="18" w:space="0" w:color="auto"/>
              <w:left w:val="single" w:sz="18" w:space="0" w:color="auto"/>
              <w:bottom w:val="single" w:sz="18" w:space="0" w:color="auto"/>
              <w:right w:val="single" w:sz="18" w:space="0" w:color="auto"/>
            </w:tcBorders>
            <w:shd w:val="clear" w:color="auto" w:fill="FBD4B4" w:themeFill="accent6" w:themeFillTint="66"/>
            <w:vAlign w:val="center"/>
          </w:tcPr>
          <w:p w14:paraId="78B4B4E2" w14:textId="77777777" w:rsidR="00E64124" w:rsidRDefault="00E64124" w:rsidP="00E869D7">
            <w:pPr>
              <w:jc w:val="center"/>
              <w:rPr>
                <w:b/>
                <w:color w:val="C00000"/>
                <w:sz w:val="26"/>
                <w:szCs w:val="26"/>
              </w:rPr>
            </w:pPr>
            <w:r>
              <w:rPr>
                <w:b/>
                <w:color w:val="C00000"/>
                <w:sz w:val="26"/>
                <w:szCs w:val="26"/>
              </w:rPr>
              <w:lastRenderedPageBreak/>
              <w:t>Senators and Representatives</w:t>
            </w:r>
          </w:p>
          <w:p w14:paraId="478C43BA" w14:textId="77777777" w:rsidR="00E64124" w:rsidRDefault="00E64124" w:rsidP="006C3218">
            <w:pPr>
              <w:rPr>
                <w:b/>
                <w:sz w:val="26"/>
                <w:szCs w:val="26"/>
              </w:rPr>
            </w:pPr>
          </w:p>
          <w:p w14:paraId="7966AB29" w14:textId="6B0F19B3" w:rsidR="00E64124" w:rsidRPr="000B13D3" w:rsidRDefault="00E64124" w:rsidP="00461BCA">
            <w:pPr>
              <w:jc w:val="center"/>
              <w:rPr>
                <w:b/>
                <w:sz w:val="26"/>
                <w:szCs w:val="26"/>
              </w:rPr>
            </w:pPr>
            <w:r>
              <w:rPr>
                <w:b/>
                <w:sz w:val="26"/>
                <w:szCs w:val="26"/>
              </w:rPr>
              <w:t>Transparency &amp; Correction in Gov’t Applications</w:t>
            </w:r>
          </w:p>
        </w:tc>
        <w:tc>
          <w:tcPr>
            <w:tcW w:w="7740" w:type="dxa"/>
            <w:tcBorders>
              <w:left w:val="single" w:sz="18" w:space="0" w:color="auto"/>
            </w:tcBorders>
            <w:vAlign w:val="center"/>
          </w:tcPr>
          <w:p w14:paraId="39383EE8" w14:textId="77777777" w:rsidR="00E64124" w:rsidRPr="00672170" w:rsidRDefault="00E64124" w:rsidP="00672170">
            <w:pPr>
              <w:rPr>
                <w:rFonts w:eastAsia="Times New Roman" w:cs="Times New Roman"/>
                <w:szCs w:val="24"/>
              </w:rPr>
            </w:pPr>
            <w:r w:rsidRPr="00672170">
              <w:rPr>
                <w:rFonts w:eastAsia="Times New Roman" w:cs="Times New Roman"/>
                <w:szCs w:val="24"/>
              </w:rPr>
              <w:t>Provide a right for tenants to see their tenant screening records for those who are denied housing to remedy and rectify inaccurate information</w:t>
            </w:r>
            <w:r>
              <w:rPr>
                <w:rFonts w:eastAsia="Times New Roman" w:cs="Times New Roman"/>
                <w:szCs w:val="24"/>
              </w:rPr>
              <w:t xml:space="preserve">. </w:t>
            </w:r>
          </w:p>
          <w:p w14:paraId="72C13E1A" w14:textId="3D59CDC8" w:rsidR="00E64124" w:rsidRPr="00C8386F" w:rsidRDefault="00E64124" w:rsidP="005D6EBD">
            <w:pPr>
              <w:jc w:val="both"/>
              <w:rPr>
                <w:sz w:val="26"/>
                <w:szCs w:val="26"/>
              </w:rPr>
            </w:pPr>
          </w:p>
        </w:tc>
        <w:tc>
          <w:tcPr>
            <w:tcW w:w="3690" w:type="dxa"/>
            <w:vAlign w:val="center"/>
          </w:tcPr>
          <w:p w14:paraId="7A784F2C" w14:textId="435018F5" w:rsidR="00E64124" w:rsidRPr="005D6EBD" w:rsidRDefault="00E64124" w:rsidP="00461BCA">
            <w:pPr>
              <w:jc w:val="center"/>
              <w:rPr>
                <w:i/>
                <w:sz w:val="26"/>
                <w:szCs w:val="26"/>
              </w:rPr>
            </w:pPr>
            <w:r>
              <w:rPr>
                <w:szCs w:val="24"/>
              </w:rPr>
              <w:t xml:space="preserve">Please support and consider drafting legislation that allows tenants to legally edit and correct inaccurate information on their government forms that have caused them to be denied housing or their assistance applications to be disqualified. </w:t>
            </w:r>
          </w:p>
        </w:tc>
      </w:tr>
      <w:tr w:rsidR="00E64124" w:rsidRPr="00AC3432" w14:paraId="2C9A9CAB" w14:textId="77777777" w:rsidTr="00E64124">
        <w:trPr>
          <w:trHeight w:val="3195"/>
        </w:trPr>
        <w:tc>
          <w:tcPr>
            <w:tcW w:w="3510" w:type="dxa"/>
            <w:tcBorders>
              <w:top w:val="single" w:sz="18" w:space="0" w:color="auto"/>
              <w:left w:val="single" w:sz="18" w:space="0" w:color="auto"/>
              <w:bottom w:val="single" w:sz="18" w:space="0" w:color="auto"/>
              <w:right w:val="single" w:sz="18" w:space="0" w:color="auto"/>
            </w:tcBorders>
            <w:shd w:val="clear" w:color="auto" w:fill="FBD4B4" w:themeFill="accent6" w:themeFillTint="66"/>
            <w:vAlign w:val="center"/>
          </w:tcPr>
          <w:p w14:paraId="3B7CB464" w14:textId="77777777" w:rsidR="00E64124" w:rsidRDefault="00E64124" w:rsidP="00E869D7">
            <w:pPr>
              <w:jc w:val="center"/>
              <w:rPr>
                <w:b/>
                <w:color w:val="C00000"/>
                <w:sz w:val="26"/>
                <w:szCs w:val="26"/>
              </w:rPr>
            </w:pPr>
            <w:r>
              <w:rPr>
                <w:b/>
                <w:color w:val="C00000"/>
                <w:sz w:val="26"/>
                <w:szCs w:val="26"/>
              </w:rPr>
              <w:t>Senators and Representatives</w:t>
            </w:r>
          </w:p>
          <w:p w14:paraId="3A21355F" w14:textId="77777777" w:rsidR="00E64124" w:rsidRDefault="00E64124" w:rsidP="00E869D7">
            <w:pPr>
              <w:jc w:val="center"/>
              <w:rPr>
                <w:b/>
                <w:color w:val="C00000"/>
                <w:sz w:val="26"/>
                <w:szCs w:val="26"/>
              </w:rPr>
            </w:pPr>
          </w:p>
          <w:p w14:paraId="7AA80519" w14:textId="27095D92" w:rsidR="00E64124" w:rsidRPr="008C1AC6" w:rsidRDefault="00E64124" w:rsidP="00461BCA">
            <w:pPr>
              <w:jc w:val="center"/>
              <w:rPr>
                <w:b/>
                <w:bCs/>
                <w:color w:val="C00000"/>
                <w:sz w:val="26"/>
                <w:szCs w:val="26"/>
              </w:rPr>
            </w:pPr>
            <w:r>
              <w:rPr>
                <w:b/>
                <w:sz w:val="26"/>
                <w:szCs w:val="26"/>
              </w:rPr>
              <w:t>Seeking Long-Term State Housing Solutions</w:t>
            </w:r>
          </w:p>
        </w:tc>
        <w:tc>
          <w:tcPr>
            <w:tcW w:w="7740" w:type="dxa"/>
            <w:tcBorders>
              <w:left w:val="single" w:sz="18" w:space="0" w:color="auto"/>
            </w:tcBorders>
            <w:vAlign w:val="center"/>
          </w:tcPr>
          <w:p w14:paraId="1AD89336" w14:textId="2D577EA2" w:rsidR="00E64124" w:rsidRDefault="00E64124" w:rsidP="005D6EBD">
            <w:pPr>
              <w:jc w:val="both"/>
              <w:rPr>
                <w:sz w:val="26"/>
                <w:szCs w:val="26"/>
              </w:rPr>
            </w:pPr>
            <w:r w:rsidRPr="006C3218">
              <w:rPr>
                <w:rFonts w:eastAsia="Times New Roman" w:cs="Times New Roman"/>
                <w:szCs w:val="20"/>
              </w:rPr>
              <w:t>Explore solutions to Indiana’s long-term housing sta</w:t>
            </w:r>
            <w:r>
              <w:rPr>
                <w:rFonts w:eastAsia="Times New Roman" w:cs="Times New Roman"/>
                <w:szCs w:val="20"/>
              </w:rPr>
              <w:t xml:space="preserve">bility and habitability crisis by studying </w:t>
            </w:r>
            <w:r w:rsidRPr="006C3218">
              <w:rPr>
                <w:rFonts w:eastAsia="Times New Roman" w:cs="Times New Roman"/>
                <w:szCs w:val="20"/>
              </w:rPr>
              <w:t xml:space="preserve">what’s worked in courtrooms and </w:t>
            </w:r>
            <w:r>
              <w:rPr>
                <w:rFonts w:eastAsia="Times New Roman" w:cs="Times New Roman"/>
                <w:szCs w:val="20"/>
              </w:rPr>
              <w:t>municipalities in other</w:t>
            </w:r>
            <w:r w:rsidRPr="006C3218">
              <w:rPr>
                <w:rFonts w:eastAsia="Times New Roman" w:cs="Times New Roman"/>
                <w:szCs w:val="20"/>
              </w:rPr>
              <w:t xml:space="preserve"> states to prohibit housing discrimination and prevent habitability violations through options including esc</w:t>
            </w:r>
            <w:r>
              <w:rPr>
                <w:rFonts w:eastAsia="Times New Roman" w:cs="Times New Roman"/>
                <w:szCs w:val="20"/>
              </w:rPr>
              <w:t>row of rent, “repair and deduct</w:t>
            </w:r>
            <w:r w:rsidRPr="006C3218">
              <w:rPr>
                <w:rFonts w:eastAsia="Times New Roman" w:cs="Times New Roman"/>
                <w:szCs w:val="20"/>
              </w:rPr>
              <w:t>,</w:t>
            </w:r>
            <w:r>
              <w:rPr>
                <w:rFonts w:eastAsia="Times New Roman" w:cs="Times New Roman"/>
                <w:szCs w:val="20"/>
              </w:rPr>
              <w:t xml:space="preserve">” and “pay to stay” </w:t>
            </w:r>
            <w:r w:rsidRPr="006C3218">
              <w:rPr>
                <w:rFonts w:eastAsia="Times New Roman" w:cs="Times New Roman"/>
                <w:szCs w:val="20"/>
              </w:rPr>
              <w:t>provisions</w:t>
            </w:r>
            <w:r>
              <w:rPr>
                <w:rFonts w:eastAsia="Times New Roman" w:cs="Times New Roman"/>
                <w:szCs w:val="20"/>
              </w:rPr>
              <w:t xml:space="preserve">. </w:t>
            </w:r>
          </w:p>
        </w:tc>
        <w:tc>
          <w:tcPr>
            <w:tcW w:w="3690" w:type="dxa"/>
            <w:vAlign w:val="center"/>
          </w:tcPr>
          <w:p w14:paraId="2E864130" w14:textId="77777777" w:rsidR="00E64124" w:rsidRDefault="00E64124" w:rsidP="00071528">
            <w:pPr>
              <w:jc w:val="center"/>
              <w:rPr>
                <w:szCs w:val="24"/>
              </w:rPr>
            </w:pPr>
            <w:r>
              <w:rPr>
                <w:szCs w:val="24"/>
              </w:rPr>
              <w:t xml:space="preserve">Please study long-term housing solutions other local and state governments have incorporated to enable their residents to have ample options for safe, affordable, and equitable housing. </w:t>
            </w:r>
          </w:p>
          <w:p w14:paraId="6F7FA8CC" w14:textId="77777777" w:rsidR="00E64124" w:rsidRDefault="00E64124" w:rsidP="00071528">
            <w:pPr>
              <w:jc w:val="center"/>
              <w:rPr>
                <w:szCs w:val="24"/>
              </w:rPr>
            </w:pPr>
          </w:p>
          <w:p w14:paraId="0F7B9C90" w14:textId="77777777" w:rsidR="00E64124" w:rsidRDefault="00E64124" w:rsidP="00745CC7">
            <w:pPr>
              <w:jc w:val="center"/>
              <w:rPr>
                <w:szCs w:val="24"/>
              </w:rPr>
            </w:pPr>
            <w:r>
              <w:rPr>
                <w:szCs w:val="24"/>
              </w:rPr>
              <w:t>And please pursue (long-term, bipartisan) legislation to allow IN residents to be afforded similar opportunities for and access to tenant legal protections and safe, affordable housing.</w:t>
            </w:r>
          </w:p>
          <w:p w14:paraId="01942D4D" w14:textId="10A1E977" w:rsidR="00E64124" w:rsidRPr="005D6EBD" w:rsidRDefault="00E64124" w:rsidP="00461BCA">
            <w:pPr>
              <w:jc w:val="center"/>
              <w:rPr>
                <w:i/>
                <w:sz w:val="28"/>
                <w:szCs w:val="26"/>
              </w:rPr>
            </w:pPr>
          </w:p>
        </w:tc>
      </w:tr>
    </w:tbl>
    <w:p w14:paraId="2C99980A" w14:textId="754D8F22" w:rsidR="00452CBC" w:rsidRPr="007F1B2D" w:rsidRDefault="00452CBC" w:rsidP="00514ADE">
      <w:pPr>
        <w:tabs>
          <w:tab w:val="left" w:pos="10020"/>
        </w:tabs>
      </w:pPr>
    </w:p>
    <w:sectPr w:rsidR="00452CBC" w:rsidRPr="007F1B2D" w:rsidSect="007F1B2D">
      <w:footerReference w:type="even" r:id="rId8"/>
      <w:footerReference w:type="default" r:id="rId9"/>
      <w:pgSz w:w="15840" w:h="12240" w:orient="landscape"/>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4ED9B" w14:textId="77777777" w:rsidR="001202F6" w:rsidRDefault="001202F6" w:rsidP="00694045">
      <w:pPr>
        <w:spacing w:after="0" w:line="240" w:lineRule="auto"/>
      </w:pPr>
      <w:r>
        <w:separator/>
      </w:r>
    </w:p>
  </w:endnote>
  <w:endnote w:type="continuationSeparator" w:id="0">
    <w:p w14:paraId="6013441B" w14:textId="77777777" w:rsidR="001202F6" w:rsidRDefault="001202F6" w:rsidP="00694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Minion Pro">
    <w:panose1 w:val="02040503050201020203"/>
    <w:charset w:val="00"/>
    <w:family w:val="roman"/>
    <w:notTrueType/>
    <w:pitch w:val="variable"/>
    <w:sig w:usb0="E00002AF" w:usb1="5000E07B" w:usb2="00000000"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6D70F" w14:textId="77777777" w:rsidR="001202F6" w:rsidRDefault="001202F6" w:rsidP="001202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764EB9" w14:textId="77777777" w:rsidR="001202F6" w:rsidRDefault="001202F6" w:rsidP="007F1B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FB7EA" w14:textId="77777777" w:rsidR="001202F6" w:rsidRDefault="001202F6" w:rsidP="001202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27BD">
      <w:rPr>
        <w:rStyle w:val="PageNumber"/>
        <w:noProof/>
      </w:rPr>
      <w:t>3</w:t>
    </w:r>
    <w:r>
      <w:rPr>
        <w:rStyle w:val="PageNumber"/>
      </w:rPr>
      <w:fldChar w:fldCharType="end"/>
    </w:r>
  </w:p>
  <w:p w14:paraId="3D701DB0" w14:textId="77777777" w:rsidR="001202F6" w:rsidRDefault="001202F6" w:rsidP="007F1B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DA363" w14:textId="77777777" w:rsidR="001202F6" w:rsidRDefault="001202F6" w:rsidP="00694045">
      <w:pPr>
        <w:spacing w:after="0" w:line="240" w:lineRule="auto"/>
      </w:pPr>
      <w:r>
        <w:separator/>
      </w:r>
    </w:p>
  </w:footnote>
  <w:footnote w:type="continuationSeparator" w:id="0">
    <w:p w14:paraId="181D28BA" w14:textId="77777777" w:rsidR="001202F6" w:rsidRDefault="001202F6" w:rsidP="006940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90A08"/>
    <w:multiLevelType w:val="hybridMultilevel"/>
    <w:tmpl w:val="F5AC9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944985"/>
    <w:multiLevelType w:val="hybridMultilevel"/>
    <w:tmpl w:val="9300F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716BD5"/>
    <w:multiLevelType w:val="multilevel"/>
    <w:tmpl w:val="04090027"/>
    <w:styleLink w:val="Style1"/>
    <w:lvl w:ilvl="0">
      <w:start w:val="1"/>
      <w:numFmt w:val="upperRoman"/>
      <w:lvlText w:val="%1."/>
      <w:lvlJc w:val="left"/>
      <w:pPr>
        <w:ind w:left="0" w:firstLine="0"/>
      </w:pPr>
      <w:rPr>
        <w:rFonts w:ascii="Comic Sans MS" w:hAnsi="Comic Sans MS"/>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45940A84"/>
    <w:multiLevelType w:val="hybridMultilevel"/>
    <w:tmpl w:val="18D4D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1B425C"/>
    <w:multiLevelType w:val="hybridMultilevel"/>
    <w:tmpl w:val="EC5C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3304C3"/>
    <w:multiLevelType w:val="hybridMultilevel"/>
    <w:tmpl w:val="DDFCC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4E90623"/>
    <w:multiLevelType w:val="hybridMultilevel"/>
    <w:tmpl w:val="250ED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6634181">
    <w:abstractNumId w:val="2"/>
  </w:num>
  <w:num w:numId="2" w16cid:durableId="1921982397">
    <w:abstractNumId w:val="0"/>
  </w:num>
  <w:num w:numId="3" w16cid:durableId="1662276668">
    <w:abstractNumId w:val="5"/>
  </w:num>
  <w:num w:numId="4" w16cid:durableId="720862016">
    <w:abstractNumId w:val="6"/>
  </w:num>
  <w:num w:numId="5" w16cid:durableId="1213736983">
    <w:abstractNumId w:val="1"/>
  </w:num>
  <w:num w:numId="6" w16cid:durableId="398403270">
    <w:abstractNumId w:val="3"/>
  </w:num>
  <w:num w:numId="7" w16cid:durableId="11786176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045"/>
    <w:rsid w:val="00071528"/>
    <w:rsid w:val="000A7EE3"/>
    <w:rsid w:val="000B13D3"/>
    <w:rsid w:val="000C7DF6"/>
    <w:rsid w:val="000D29D1"/>
    <w:rsid w:val="000D7584"/>
    <w:rsid w:val="001202F6"/>
    <w:rsid w:val="00126C13"/>
    <w:rsid w:val="001466A1"/>
    <w:rsid w:val="001749CB"/>
    <w:rsid w:val="001A56C2"/>
    <w:rsid w:val="001F69D5"/>
    <w:rsid w:val="002156E9"/>
    <w:rsid w:val="00220A0C"/>
    <w:rsid w:val="00250B3D"/>
    <w:rsid w:val="00257EBE"/>
    <w:rsid w:val="002623B4"/>
    <w:rsid w:val="002743BA"/>
    <w:rsid w:val="00296442"/>
    <w:rsid w:val="002C7536"/>
    <w:rsid w:val="003117F3"/>
    <w:rsid w:val="003227BD"/>
    <w:rsid w:val="003519B2"/>
    <w:rsid w:val="00360F3F"/>
    <w:rsid w:val="003D3ABB"/>
    <w:rsid w:val="003F0093"/>
    <w:rsid w:val="003F17C3"/>
    <w:rsid w:val="004105AA"/>
    <w:rsid w:val="00410908"/>
    <w:rsid w:val="00452CBC"/>
    <w:rsid w:val="00461BCA"/>
    <w:rsid w:val="004745E0"/>
    <w:rsid w:val="004E4A1A"/>
    <w:rsid w:val="00514ADE"/>
    <w:rsid w:val="005232C6"/>
    <w:rsid w:val="0054476D"/>
    <w:rsid w:val="0055591E"/>
    <w:rsid w:val="00572D26"/>
    <w:rsid w:val="005850AE"/>
    <w:rsid w:val="005978CE"/>
    <w:rsid w:val="005D6EBD"/>
    <w:rsid w:val="0065471E"/>
    <w:rsid w:val="00672170"/>
    <w:rsid w:val="00683529"/>
    <w:rsid w:val="00691AD9"/>
    <w:rsid w:val="00694045"/>
    <w:rsid w:val="00695215"/>
    <w:rsid w:val="006A7FE1"/>
    <w:rsid w:val="006B4796"/>
    <w:rsid w:val="006C3218"/>
    <w:rsid w:val="006F79F4"/>
    <w:rsid w:val="00745CC7"/>
    <w:rsid w:val="007B5D99"/>
    <w:rsid w:val="007E3AFC"/>
    <w:rsid w:val="007F1B2D"/>
    <w:rsid w:val="00805C8E"/>
    <w:rsid w:val="0081653D"/>
    <w:rsid w:val="008465A0"/>
    <w:rsid w:val="00846D48"/>
    <w:rsid w:val="0087180E"/>
    <w:rsid w:val="00894CBB"/>
    <w:rsid w:val="008A43E0"/>
    <w:rsid w:val="008B221C"/>
    <w:rsid w:val="008C1AC6"/>
    <w:rsid w:val="00912B55"/>
    <w:rsid w:val="009474A8"/>
    <w:rsid w:val="00970043"/>
    <w:rsid w:val="009A4CA2"/>
    <w:rsid w:val="009B34FE"/>
    <w:rsid w:val="009B572F"/>
    <w:rsid w:val="00A119A3"/>
    <w:rsid w:val="00A659DA"/>
    <w:rsid w:val="00A87F50"/>
    <w:rsid w:val="00AA14F2"/>
    <w:rsid w:val="00AC3432"/>
    <w:rsid w:val="00AC45F4"/>
    <w:rsid w:val="00AF167D"/>
    <w:rsid w:val="00B25767"/>
    <w:rsid w:val="00B55567"/>
    <w:rsid w:val="00B60190"/>
    <w:rsid w:val="00B83438"/>
    <w:rsid w:val="00B85B74"/>
    <w:rsid w:val="00B8642B"/>
    <w:rsid w:val="00B909B1"/>
    <w:rsid w:val="00BA70D0"/>
    <w:rsid w:val="00BB6AD8"/>
    <w:rsid w:val="00BC70EA"/>
    <w:rsid w:val="00C06EFA"/>
    <w:rsid w:val="00C57625"/>
    <w:rsid w:val="00C8386F"/>
    <w:rsid w:val="00CB1702"/>
    <w:rsid w:val="00CC7772"/>
    <w:rsid w:val="00DA2A7C"/>
    <w:rsid w:val="00E13608"/>
    <w:rsid w:val="00E14D69"/>
    <w:rsid w:val="00E43D6D"/>
    <w:rsid w:val="00E64124"/>
    <w:rsid w:val="00E869D7"/>
    <w:rsid w:val="00EB2D87"/>
    <w:rsid w:val="00EE5CDF"/>
    <w:rsid w:val="00F27C3D"/>
    <w:rsid w:val="00F44B7E"/>
    <w:rsid w:val="00FA7F3D"/>
    <w:rsid w:val="00FD0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694402"/>
  <w15:docId w15:val="{E048822C-2F5D-414F-B9AB-5DFF63591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60190"/>
    <w:pPr>
      <w:numPr>
        <w:numId w:val="1"/>
      </w:numPr>
    </w:pPr>
  </w:style>
  <w:style w:type="paragraph" w:styleId="Header">
    <w:name w:val="header"/>
    <w:basedOn w:val="Normal"/>
    <w:link w:val="HeaderChar"/>
    <w:uiPriority w:val="99"/>
    <w:unhideWhenUsed/>
    <w:rsid w:val="00694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045"/>
  </w:style>
  <w:style w:type="paragraph" w:styleId="Footer">
    <w:name w:val="footer"/>
    <w:basedOn w:val="Normal"/>
    <w:link w:val="FooterChar"/>
    <w:uiPriority w:val="99"/>
    <w:unhideWhenUsed/>
    <w:rsid w:val="00694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045"/>
  </w:style>
  <w:style w:type="paragraph" w:styleId="BalloonText">
    <w:name w:val="Balloon Text"/>
    <w:basedOn w:val="Normal"/>
    <w:link w:val="BalloonTextChar"/>
    <w:uiPriority w:val="99"/>
    <w:semiHidden/>
    <w:unhideWhenUsed/>
    <w:rsid w:val="00694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045"/>
    <w:rPr>
      <w:rFonts w:ascii="Tahoma" w:hAnsi="Tahoma" w:cs="Tahoma"/>
      <w:sz w:val="16"/>
      <w:szCs w:val="16"/>
    </w:rPr>
  </w:style>
  <w:style w:type="paragraph" w:styleId="ListParagraph">
    <w:name w:val="List Paragraph"/>
    <w:basedOn w:val="Normal"/>
    <w:uiPriority w:val="34"/>
    <w:qFormat/>
    <w:rsid w:val="00452CBC"/>
    <w:pPr>
      <w:ind w:left="720"/>
      <w:contextualSpacing/>
    </w:pPr>
  </w:style>
  <w:style w:type="table" w:styleId="TableGrid">
    <w:name w:val="Table Grid"/>
    <w:basedOn w:val="TableNormal"/>
    <w:uiPriority w:val="59"/>
    <w:rsid w:val="00296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7F1B2D"/>
  </w:style>
  <w:style w:type="paragraph" w:customStyle="1" w:styleId="BasicParagraph">
    <w:name w:val="[Basic Paragraph]"/>
    <w:basedOn w:val="Normal"/>
    <w:uiPriority w:val="99"/>
    <w:rsid w:val="00514ADE"/>
    <w:pPr>
      <w:autoSpaceDE w:val="0"/>
      <w:autoSpaceDN w:val="0"/>
      <w:adjustRightInd w:val="0"/>
      <w:spacing w:after="0" w:line="288" w:lineRule="auto"/>
      <w:textAlignment w:val="center"/>
    </w:pPr>
    <w:rPr>
      <w:rFonts w:ascii="Minion Pro" w:hAnsi="Minion Pro" w:cs="Minion Pro"/>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28963">
      <w:bodyDiv w:val="1"/>
      <w:marLeft w:val="0"/>
      <w:marRight w:val="0"/>
      <w:marTop w:val="0"/>
      <w:marBottom w:val="0"/>
      <w:divBdr>
        <w:top w:val="none" w:sz="0" w:space="0" w:color="auto"/>
        <w:left w:val="none" w:sz="0" w:space="0" w:color="auto"/>
        <w:bottom w:val="none" w:sz="0" w:space="0" w:color="auto"/>
        <w:right w:val="none" w:sz="0" w:space="0" w:color="auto"/>
      </w:divBdr>
    </w:div>
    <w:div w:id="309602934">
      <w:bodyDiv w:val="1"/>
      <w:marLeft w:val="0"/>
      <w:marRight w:val="0"/>
      <w:marTop w:val="0"/>
      <w:marBottom w:val="0"/>
      <w:divBdr>
        <w:top w:val="none" w:sz="0" w:space="0" w:color="auto"/>
        <w:left w:val="none" w:sz="0" w:space="0" w:color="auto"/>
        <w:bottom w:val="none" w:sz="0" w:space="0" w:color="auto"/>
        <w:right w:val="none" w:sz="0" w:space="0" w:color="auto"/>
      </w:divBdr>
    </w:div>
    <w:div w:id="385418878">
      <w:bodyDiv w:val="1"/>
      <w:marLeft w:val="0"/>
      <w:marRight w:val="0"/>
      <w:marTop w:val="0"/>
      <w:marBottom w:val="0"/>
      <w:divBdr>
        <w:top w:val="none" w:sz="0" w:space="0" w:color="auto"/>
        <w:left w:val="none" w:sz="0" w:space="0" w:color="auto"/>
        <w:bottom w:val="none" w:sz="0" w:space="0" w:color="auto"/>
        <w:right w:val="none" w:sz="0" w:space="0" w:color="auto"/>
      </w:divBdr>
    </w:div>
    <w:div w:id="616327292">
      <w:bodyDiv w:val="1"/>
      <w:marLeft w:val="0"/>
      <w:marRight w:val="0"/>
      <w:marTop w:val="0"/>
      <w:marBottom w:val="0"/>
      <w:divBdr>
        <w:top w:val="none" w:sz="0" w:space="0" w:color="auto"/>
        <w:left w:val="none" w:sz="0" w:space="0" w:color="auto"/>
        <w:bottom w:val="none" w:sz="0" w:space="0" w:color="auto"/>
        <w:right w:val="none" w:sz="0" w:space="0" w:color="auto"/>
      </w:divBdr>
    </w:div>
    <w:div w:id="1781031269">
      <w:bodyDiv w:val="1"/>
      <w:marLeft w:val="0"/>
      <w:marRight w:val="0"/>
      <w:marTop w:val="0"/>
      <w:marBottom w:val="0"/>
      <w:divBdr>
        <w:top w:val="none" w:sz="0" w:space="0" w:color="auto"/>
        <w:left w:val="none" w:sz="0" w:space="0" w:color="auto"/>
        <w:bottom w:val="none" w:sz="0" w:space="0" w:color="auto"/>
        <w:right w:val="none" w:sz="0" w:space="0" w:color="auto"/>
      </w:divBdr>
    </w:div>
    <w:div w:id="188324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8ED9B0A-BF93-224B-8967-44786531E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440</Words>
  <Characters>2509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(Current Hunger Issues – 2020)</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Hunger Issues – 2020)</dc:title>
  <dc:creator>Jeff</dc:creator>
  <cp:lastModifiedBy>Celia Booher</cp:lastModifiedBy>
  <cp:revision>2</cp:revision>
  <cp:lastPrinted>2022-05-09T16:54:00Z</cp:lastPrinted>
  <dcterms:created xsi:type="dcterms:W3CDTF">2022-06-21T19:52:00Z</dcterms:created>
  <dcterms:modified xsi:type="dcterms:W3CDTF">2022-06-21T19:52:00Z</dcterms:modified>
</cp:coreProperties>
</file>